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keepNext w:val="1"/>
        <w:widowControl w:val="1"/>
      </w:pPr>
      <w:r>
        <w:t>Objaśnienia przyjętych wartości do Wieloletniej Prognozy Finansowej Gminy Raszyn na lata 2024-2032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Zgodnie ze zmianami w budżecie na dzień 10 grudnia 2024 r., dokonano następujących zmian w Wieloletniej Prognozie Finansowej Gminy Raszyn:</w:t>
      </w:r>
    </w:p>
    <w:p>
      <w:pPr>
        <w:pStyle w:val="P9"/>
        <w:widowControl w:val="1"/>
        <w:numPr>
          <w:ilvl w:val="0"/>
          <w:numId w:val="1"/>
        </w:numPr>
        <w:rPr>
          <w:bCs w:val="1"/>
        </w:rPr>
      </w:pPr>
      <w:r>
        <w:rPr>
          <w:bCs w:val="1"/>
        </w:rPr>
        <w:t>Dochody ogółem zwiększono o 9 091 856,43 zł, z czego dochody bieżące zwiększono o 7 588 856,43 zł, a dochody majątkowe zwiększono o 1 503 000,00 zł.</w:t>
      </w:r>
    </w:p>
    <w:p>
      <w:pPr>
        <w:pStyle w:val="P9"/>
        <w:widowControl w:val="1"/>
        <w:numPr>
          <w:ilvl w:val="0"/>
          <w:numId w:val="1"/>
        </w:numPr>
        <w:rPr>
          <w:bCs w:val="1"/>
        </w:rPr>
      </w:pPr>
      <w:r>
        <w:rPr>
          <w:bCs w:val="1"/>
        </w:rPr>
        <w:t>Wydatki ogółem zwiększono o 1 425 837,43 zł, z czego wydatki bieżące zwiększono o 825 837,43 zł, a wydatki majątkowe zwiększono o 600 000,00 zł.</w:t>
      </w:r>
    </w:p>
    <w:p>
      <w:pPr>
        <w:pStyle w:val="P9"/>
        <w:widowControl w:val="1"/>
        <w:numPr>
          <w:ilvl w:val="0"/>
          <w:numId w:val="1"/>
        </w:numPr>
        <w:rPr>
          <w:bCs w:val="1"/>
        </w:rPr>
      </w:pPr>
      <w:r>
        <w:rPr>
          <w:bCs w:val="1"/>
        </w:rPr>
        <w:t>Wynik budżetu jest deficytowy i po zmianach wynosi -6 378 691,01 zł.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Szczegółowe informacje na temat zmian w zakresie dochodów, wydatków i wyniku budżetu w roku budżetowym przedstawiono w tabeli poniżej.</w:t>
      </w:r>
    </w:p>
    <w:p>
      <w:pPr>
        <w:pStyle w:val="P7"/>
        <w:keepNext w:val="1"/>
        <w:widowControl w:val="1"/>
      </w:pPr>
      <w:r>
        <w:t>Tabela 1. Zmiany w dochodach i wydatkach w 2024 roku</w:t>
      </w:r>
    </w:p>
    <w:tbl>
      <w:tblPr>
        <w:tblStyle w:val="T1"/>
        <w:tblW w:w="9072" w:type="dxa"/>
        <w:tblInd w:w="0" w:type="dxa"/>
        <w:tblLook w:val="04A0"/>
      </w:tblPr>
      <w:tblGrid>
        <w:gridCol w:w="2268"/>
        <w:gridCol w:w="2268"/>
        <w:gridCol w:w="2268"/>
        <w:gridCol w:w="2268"/>
      </w:tblGrid>
      <w:tr>
        <w:trPr>
          <w:tblHeader/>
        </w:trP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Wyszczególnienie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Przed zmianą [zł]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Zmiana [zł]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Po zmianie [zł]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</w:pPr>
            <w:r>
              <w:t>Dochody ogółem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220 118 773,32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+9 091 856,43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229 210 629,75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</w:pPr>
            <w:r>
              <w:t>Dochody bieżące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205 834 240,40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+7 588 856,43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213 423 096,83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rPr>
                <w:bCs w:val="1"/>
              </w:rPr>
            </w:pPr>
            <w:r>
              <w:rPr>
                <w:bCs w:val="1"/>
              </w:rPr>
              <w:t>Udział we wpływach z PIT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63 046 493,00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+7 156 019,00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70 202 512,00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rPr>
                <w:bCs w:val="1"/>
              </w:rPr>
            </w:pPr>
            <w:r>
              <w:rPr>
                <w:bCs w:val="1"/>
              </w:rPr>
              <w:t>Dotacje bieżące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20 575 768,40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+420 837,43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20 996 605,83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rPr>
                <w:bCs w:val="1"/>
              </w:rPr>
            </w:pPr>
            <w:r>
              <w:rPr>
                <w:bCs w:val="1"/>
              </w:rPr>
              <w:t>Pozostałe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70 467 542,00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+12 000,00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70 479 542,00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</w:pPr>
            <w:r>
              <w:t>Dochody majątkowe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14 284 532,92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+1 503 000,00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15 787 532,92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</w:pPr>
            <w:r>
              <w:t>Wydatki ogółem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234 163 483,33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+1 425 837,43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235 589 320,76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</w:pPr>
            <w:r>
              <w:t>Wydatki bieżące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198 294 079,32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+825 837,43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199 119 916,75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rPr>
                <w:bCs w:val="1"/>
              </w:rPr>
            </w:pPr>
            <w:r>
              <w:rPr>
                <w:bCs w:val="1"/>
              </w:rPr>
              <w:t>Wynagrodzenia i pochodne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92 617 451,06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+926 455,43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93 543 906,49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rPr>
                <w:bCs w:val="1"/>
              </w:rPr>
            </w:pPr>
            <w:r>
              <w:rPr>
                <w:bCs w:val="1"/>
              </w:rPr>
              <w:t>Pozostałe wydatki bieżące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103 076 628,26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-100 618,00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102 976 010,26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</w:pPr>
            <w:r>
              <w:t>Wydatki majątkowe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35 869 404,01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+600 000,00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36 469 404,01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</w:pPr>
            <w:r>
              <w:t>Wynik budżetu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-14 044 710,01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+7 666 019,00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-6 378 691,01</w:t>
            </w:r>
          </w:p>
        </w:tc>
      </w:tr>
    </w:tbl>
    <w:p>
      <w:pPr>
        <w:pStyle w:val="P8"/>
        <w:widowControl w:val="1"/>
        <w:rPr>
          <w:bCs w:val="1"/>
        </w:rPr>
      </w:pPr>
      <w:r>
        <w:rPr>
          <w:bCs w:val="1"/>
        </w:rPr>
        <w:t>Źródło: opracowanie własne.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W Wieloletniej Prognozie Finansowej Gminy Raszyn:</w:t>
      </w:r>
    </w:p>
    <w:p>
      <w:pPr>
        <w:pStyle w:val="P9"/>
        <w:widowControl w:val="1"/>
        <w:numPr>
          <w:ilvl w:val="0"/>
          <w:numId w:val="2"/>
        </w:numPr>
        <w:rPr>
          <w:bCs w:val="1"/>
        </w:rPr>
      </w:pPr>
      <w:r>
        <w:rPr>
          <w:bCs w:val="1"/>
        </w:rPr>
        <w:t>Przychody ogółem w roku budżetowym zmniejszono o 7 666 019,00 zł i po zmianach wynoszą 10 378 691,01 zł.</w:t>
      </w:r>
    </w:p>
    <w:p>
      <w:pPr>
        <w:pStyle w:val="P9"/>
        <w:widowControl w:val="1"/>
        <w:numPr>
          <w:ilvl w:val="0"/>
          <w:numId w:val="2"/>
        </w:numPr>
        <w:rPr>
          <w:bCs w:val="1"/>
        </w:rPr>
      </w:pPr>
      <w:r>
        <w:rPr>
          <w:bCs w:val="1"/>
        </w:rPr>
        <w:t>Rozchody ogółem w roku budżetowym nie uległy zmianie.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Szczegółowe informacje na temat zmian w zakresie przychodów i rozchodów w roku budżetowym przedstawiono w tabeli poniżej.</w:t>
      </w:r>
    </w:p>
    <w:p>
      <w:pPr>
        <w:pStyle w:val="P7"/>
        <w:keepNext w:val="1"/>
        <w:widowControl w:val="1"/>
      </w:pPr>
      <w:r>
        <w:t>Tabela 2. Zmiany w przychodach i rozchodach na 2024 rok.</w:t>
      </w:r>
    </w:p>
    <w:tbl>
      <w:tblPr>
        <w:tblStyle w:val="T1"/>
        <w:tblW w:w="9072" w:type="dxa"/>
        <w:tblInd w:w="0" w:type="dxa"/>
        <w:tblLook w:val="04A0"/>
      </w:tblPr>
      <w:tblGrid>
        <w:gridCol w:w="2268"/>
        <w:gridCol w:w="2268"/>
        <w:gridCol w:w="2268"/>
        <w:gridCol w:w="2268"/>
      </w:tblGrid>
      <w:tr>
        <w:trPr>
          <w:tblHeader/>
        </w:trP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Wyszczególnienie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Przed zmianą [zł]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Zmiana [zł]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Po zmianie [zł]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</w:pPr>
            <w:r>
              <w:t>Przychody budżetu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18 044 710,01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-7 666 019,00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widowControl w:val="1"/>
              <w:jc w:val="right"/>
            </w:pPr>
            <w:r>
              <w:t>10 378 691,01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rPr>
                <w:bCs w:val="1"/>
              </w:rPr>
            </w:pPr>
            <w:r>
              <w:rPr>
                <w:bCs w:val="1"/>
              </w:rPr>
              <w:t>Wolne środki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14 727 024,00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-7 666 019,00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7 061 005,00</w:t>
            </w:r>
          </w:p>
        </w:tc>
      </w:tr>
    </w:tbl>
    <w:p>
      <w:pPr>
        <w:pStyle w:val="P8"/>
        <w:widowControl w:val="1"/>
        <w:rPr>
          <w:bCs w:val="1"/>
        </w:rPr>
      </w:pPr>
      <w:r>
        <w:rPr>
          <w:bCs w:val="1"/>
        </w:rPr>
        <w:t>Źródło: opracowanie własne.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Od 2025 nie dokonywano zmian w zakresie planowanych przychodów.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Od 2025 nie dokonywano zmian w zakresie planowanych rozchodów.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Zmiany w Wieloletniej Prognozie Finansowej Gminy Raszyn na lata 2024-2032 spowodowały modyfikacje w kształtowaniu się relacji z art. 243 ustawy o finansach publicznych. Szczegóły zaprezentowano w tabeli poniżej.</w:t>
      </w:r>
    </w:p>
    <w:p>
      <w:pPr>
        <w:pStyle w:val="P7"/>
        <w:keepNext w:val="1"/>
        <w:widowControl w:val="1"/>
      </w:pPr>
      <w:r>
        <w:t>Tabela 3. Kształtowanie się relacji z art. 243 ust. 1 ustawy o finansach publicznych</w:t>
      </w:r>
    </w:p>
    <w:tbl>
      <w:tblPr>
        <w:tblStyle w:val="T1"/>
        <w:tblW w:w="9072" w:type="dxa"/>
        <w:tblInd w:w="0" w:type="dxa"/>
        <w:tblLook w:val="04A0"/>
      </w:tblPr>
      <w:tblGrid>
        <w:gridCol w:w="825"/>
        <w:gridCol w:w="1649"/>
        <w:gridCol w:w="1650"/>
        <w:gridCol w:w="1649"/>
        <w:gridCol w:w="1650"/>
        <w:gridCol w:w="1649"/>
      </w:tblGrid>
      <w:tr>
        <w:trPr>
          <w:tblHeader/>
        </w:trPr>
        <w:tc>
          <w:tcPr>
            <w:tcW w:w="8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Rok</w:t>
            </w:r>
          </w:p>
        </w:tc>
        <w:tc>
          <w:tcPr>
            <w:tcW w:w="1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Obsługa zadłużenia (fakt. i plan. po wyłączeniach)</w:t>
            </w:r>
          </w:p>
        </w:tc>
        <w:tc>
          <w:tcPr>
            <w:tcW w:w="1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Zachowanie relacji z art. 243 (w oparciu o plan po III kwartale)</w:t>
            </w:r>
          </w:p>
        </w:tc>
        <w:tc>
          <w:tcPr>
            <w:tcW w:w="1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0"/>
              <w:widowControl w:val="1"/>
              <w:jc w:val="center"/>
            </w:pPr>
            <w:r>
              <w:t>Zachowanie relacji z art. 243 (w oparciu o wykonanie)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2024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3,43%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17,61%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20,64%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2025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3,45%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10,69%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13,72%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2026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3,42%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16,27%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17,57%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2027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4,05%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14,64%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15,94%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2028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3,62%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12,60%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13,91%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2029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3,32%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9,42%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10,72%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2030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2,05%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7,25%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8,56%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2031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0,06%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7,76%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7,76%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  <w:tr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2032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0,04%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6,60%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  <w:tc>
          <w:tcPr>
            <w:tcW w:w="833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right"/>
              <w:rPr>
                <w:bCs w:val="1"/>
              </w:rPr>
            </w:pPr>
            <w:r>
              <w:rPr>
                <w:bCs w:val="1"/>
              </w:rPr>
              <w:t>6,60%</w:t>
            </w:r>
          </w:p>
        </w:tc>
        <w:tc>
          <w:tcPr>
            <w:tcW w:w="83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widowControl w:val="1"/>
              <w:jc w:val="center"/>
              <w:rPr>
                <w:bCs w:val="1"/>
              </w:rPr>
            </w:pPr>
            <w:r>
              <w:rPr>
                <w:bCs w:val="1"/>
              </w:rPr>
              <w:t>TAK</w:t>
            </w:r>
          </w:p>
        </w:tc>
      </w:tr>
    </w:tbl>
    <w:p>
      <w:pPr>
        <w:pStyle w:val="P8"/>
        <w:widowControl w:val="1"/>
        <w:rPr>
          <w:bCs w:val="1"/>
        </w:rPr>
      </w:pPr>
      <w:r>
        <w:rPr>
          <w:bCs w:val="1"/>
        </w:rPr>
        <w:t>Źródło: Opracowanie własne.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Dane w tabeli powyżej wskazują, że w całym okresie prognozy Gmina Raszyn spełnia relację, o której mowa w art. 243 ust. 1 ustawy o finansach publicznych. Spełnienie dotyczy zarówno relacji obliczonej na podstawie planu na dzień 30.09.2023 r. jak i w oparciu o dane z wykonania budżetu.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>
      <w:pPr>
        <w:pStyle w:val="P3"/>
        <w:widowControl w:val="1"/>
        <w:rPr>
          <w:bCs w:val="1"/>
        </w:rPr>
      </w:pPr>
      <w:r>
        <w:rPr>
          <w:bCs w:val="1"/>
        </w:rPr>
        <w:t>Pełen zakres zmian obrazuje załącznik nr 1 do niniejszej uchwały.</w:t>
      </w:r>
    </w:p>
    <w:sectPr>
      <w:type w:val="nextPage"/>
      <w:pgSz w:w="11906" w:h="16838" w:code="0"/>
      <w:pgMar w:left="1417" w:right="1417" w:top="992" w:bottom="992" w:header="720" w:footer="72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6F904BF"/>
    <w:multiLevelType w:val="hybridMultilevel"/>
    <w:lvl w:ilvl="0" w:tplc="2CC5A0B3">
      <w:start w:val="1"/>
      <w:numFmt w:val="decimal"/>
      <w:suff w:val="tab"/>
      <w:lvlText w:val="%1."/>
      <w:lvlJc w:val="left"/>
      <w:pPr>
        <w:widowControl w:val="0"/>
        <w:ind w:hanging="425" w:left="709"/>
      </w:pPr>
      <w:rPr/>
    </w:lvl>
    <w:lvl w:ilvl="1" w:tplc="44A50E87">
      <w:start w:val="1"/>
      <w:numFmt w:val="decimal"/>
      <w:suff w:val="tab"/>
      <w:lvlText w:val="%1."/>
      <w:lvlJc w:val="left"/>
      <w:pPr>
        <w:widowControl w:val="0"/>
        <w:ind w:hanging="425" w:left="1417"/>
      </w:pPr>
      <w:rPr/>
    </w:lvl>
    <w:lvl w:ilvl="2" w:tplc="575C71CC">
      <w:start w:val="1"/>
      <w:numFmt w:val="decimal"/>
      <w:suff w:val="tab"/>
      <w:lvlText w:val="%1."/>
      <w:lvlJc w:val="left"/>
      <w:pPr>
        <w:widowControl w:val="0"/>
        <w:ind w:hanging="425" w:left="2126"/>
      </w:pPr>
      <w:rPr/>
    </w:lvl>
    <w:lvl w:ilvl="3" w:tplc="42A54902">
      <w:start w:val="1"/>
      <w:numFmt w:val="decimal"/>
      <w:suff w:val="tab"/>
      <w:lvlText w:val="%1."/>
      <w:lvlJc w:val="left"/>
      <w:pPr>
        <w:widowControl w:val="0"/>
      </w:pPr>
      <w:rPr/>
    </w:lvl>
    <w:lvl w:ilvl="4" w:tplc="6A7ED430">
      <w:start w:val="1"/>
      <w:numFmt w:val="decimal"/>
      <w:suff w:val="tab"/>
      <w:lvlText w:val="%1."/>
      <w:lvlJc w:val="left"/>
      <w:pPr>
        <w:widowControl w:val="0"/>
      </w:pPr>
      <w:rPr/>
    </w:lvl>
    <w:lvl w:ilvl="5" w:tplc="7618F10D">
      <w:start w:val="1"/>
      <w:numFmt w:val="decimal"/>
      <w:suff w:val="tab"/>
      <w:lvlText w:val="%1."/>
      <w:lvlJc w:val="left"/>
      <w:pPr>
        <w:widowControl w:val="0"/>
      </w:pPr>
      <w:rPr/>
    </w:lvl>
    <w:lvl w:ilvl="6" w:tplc="0B8A0902">
      <w:start w:val="1"/>
      <w:numFmt w:val="decimal"/>
      <w:suff w:val="tab"/>
      <w:lvlText w:val="%1."/>
      <w:lvlJc w:val="left"/>
      <w:pPr>
        <w:widowControl w:val="0"/>
      </w:pPr>
      <w:rPr/>
    </w:lvl>
    <w:lvl w:ilvl="7" w:tplc="146ABB53">
      <w:start w:val="1"/>
      <w:numFmt w:val="decimal"/>
      <w:suff w:val="tab"/>
      <w:lvlText w:val="%1."/>
      <w:lvlJc w:val="left"/>
      <w:pPr>
        <w:widowControl w:val="0"/>
      </w:pPr>
      <w:rPr/>
    </w:lvl>
    <w:lvl w:ilvl="8" w:tplc="0DD24CF8">
      <w:start w:val="1"/>
      <w:numFmt w:val="decimal"/>
      <w:suff w:val="tab"/>
      <w:lvlText w:val="%1."/>
      <w:lvlJc w:val="left"/>
      <w:pPr>
        <w:widowControl w:val="0"/>
      </w:pPr>
      <w:rPr/>
    </w:lvl>
  </w:abstractNum>
  <w:abstractNum w:abstractNumId="1">
    <w:nsid w:val="53C01808"/>
    <w:multiLevelType w:val="hybridMultilevel"/>
    <w:lvl w:ilvl="0" w:tplc="30B72E38">
      <w:start w:val="1"/>
      <w:numFmt w:val="decimal"/>
      <w:suff w:val="tab"/>
      <w:lvlText w:val="%1."/>
      <w:lvlJc w:val="left"/>
      <w:pPr>
        <w:widowControl w:val="0"/>
        <w:ind w:hanging="425" w:left="709"/>
      </w:pPr>
      <w:rPr/>
    </w:lvl>
    <w:lvl w:ilvl="1" w:tplc="76899F4C">
      <w:start w:val="1"/>
      <w:numFmt w:val="decimal"/>
      <w:suff w:val="tab"/>
      <w:lvlText w:val="%1."/>
      <w:lvlJc w:val="left"/>
      <w:pPr>
        <w:widowControl w:val="0"/>
        <w:ind w:hanging="425" w:left="1417"/>
      </w:pPr>
      <w:rPr/>
    </w:lvl>
    <w:lvl w:ilvl="2" w:tplc="754B21F7">
      <w:start w:val="1"/>
      <w:numFmt w:val="decimal"/>
      <w:suff w:val="tab"/>
      <w:lvlText w:val="%1."/>
      <w:lvlJc w:val="left"/>
      <w:pPr>
        <w:widowControl w:val="0"/>
        <w:ind w:hanging="425" w:left="2126"/>
      </w:pPr>
      <w:rPr/>
    </w:lvl>
    <w:lvl w:ilvl="3" w:tplc="53F0E71F">
      <w:start w:val="1"/>
      <w:numFmt w:val="decimal"/>
      <w:suff w:val="tab"/>
      <w:lvlText w:val="%1."/>
      <w:lvlJc w:val="left"/>
      <w:pPr>
        <w:widowControl w:val="0"/>
      </w:pPr>
      <w:rPr/>
    </w:lvl>
    <w:lvl w:ilvl="4" w:tplc="58FBC0B2">
      <w:start w:val="1"/>
      <w:numFmt w:val="decimal"/>
      <w:suff w:val="tab"/>
      <w:lvlText w:val="%1."/>
      <w:lvlJc w:val="left"/>
      <w:pPr>
        <w:widowControl w:val="0"/>
      </w:pPr>
      <w:rPr/>
    </w:lvl>
    <w:lvl w:ilvl="5" w:tplc="2B0CD78B">
      <w:start w:val="1"/>
      <w:numFmt w:val="decimal"/>
      <w:suff w:val="tab"/>
      <w:lvlText w:val="%1."/>
      <w:lvlJc w:val="left"/>
      <w:pPr>
        <w:widowControl w:val="0"/>
      </w:pPr>
      <w:rPr/>
    </w:lvl>
    <w:lvl w:ilvl="6" w:tplc="09C8C18C">
      <w:start w:val="1"/>
      <w:numFmt w:val="decimal"/>
      <w:suff w:val="tab"/>
      <w:lvlText w:val="%1."/>
      <w:lvlJc w:val="left"/>
      <w:pPr>
        <w:widowControl w:val="0"/>
      </w:pPr>
      <w:rPr/>
    </w:lvl>
    <w:lvl w:ilvl="7" w:tplc="61C8F14D">
      <w:start w:val="1"/>
      <w:numFmt w:val="decimal"/>
      <w:suff w:val="tab"/>
      <w:lvlText w:val="%1."/>
      <w:lvlJc w:val="left"/>
      <w:pPr>
        <w:widowControl w:val="0"/>
      </w:pPr>
      <w:rPr/>
    </w:lvl>
    <w:lvl w:ilvl="8" w:tplc="786108E0">
      <w:start w:val="1"/>
      <w:numFmt w:val="decimal"/>
      <w:suff w:val="tab"/>
      <w:lvlText w:val="%1."/>
      <w:lvlJc w:val="left"/>
      <w:pPr>
        <w:widowControl w:val="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>
      <w:widowControl w:val="0"/>
    </w:pPr>
    <w:rPr/>
  </w:style>
  <w:style w:type="paragraph" w:styleId="P1">
    <w:name w:val="Tytuł (Publink)"/>
    <w:basedOn w:val="P0"/>
    <w:pPr>
      <w:spacing w:before="160" w:after="320"/>
      <w:jc w:val="center"/>
    </w:pPr>
    <w:rPr>
      <w:rFonts w:ascii="Arial" w:hAnsi="Arial" w:cs="Arial"/>
      <w:b w:val="1"/>
      <w:bCs w:val="1"/>
      <w:sz w:val="32"/>
      <w:szCs w:val="32"/>
    </w:rPr>
  </w:style>
  <w:style w:type="paragraph" w:styleId="P2">
    <w:name w:val="Podtytuł (Publink)"/>
    <w:basedOn w:val="P0"/>
    <w:pPr>
      <w:spacing w:before="160" w:after="320"/>
      <w:jc w:val="center"/>
    </w:pPr>
    <w:rPr>
      <w:rFonts w:ascii="Arial" w:hAnsi="Arial" w:cs="Arial"/>
      <w:sz w:val="28"/>
      <w:szCs w:val="28"/>
    </w:rPr>
  </w:style>
  <w:style w:type="paragraph" w:styleId="P3">
    <w:name w:val="Tekst (Publink)"/>
    <w:basedOn w:val="P0"/>
    <w:pPr>
      <w:spacing w:after="160"/>
      <w:jc w:val="both"/>
    </w:pPr>
    <w:rPr>
      <w:rFonts w:ascii="Arial" w:hAnsi="Arial" w:cs="Arial"/>
      <w:sz w:val="20"/>
      <w:szCs w:val="20"/>
    </w:rPr>
  </w:style>
  <w:style w:type="paragraph" w:styleId="P4">
    <w:name w:val="Nagłówek 1 (Publink)"/>
    <w:basedOn w:val="P0"/>
    <w:pPr>
      <w:spacing w:before="160" w:after="160"/>
      <w:contextualSpacing w:val="1"/>
    </w:pPr>
    <w:rPr>
      <w:rFonts w:ascii="Arial" w:hAnsi="Arial" w:cs="Arial"/>
      <w:b w:val="1"/>
      <w:bCs w:val="1"/>
      <w:sz w:val="28"/>
      <w:szCs w:val="28"/>
    </w:rPr>
  </w:style>
  <w:style w:type="paragraph" w:styleId="P5">
    <w:name w:val="Nagłówek 2 (Publink)"/>
    <w:basedOn w:val="P0"/>
    <w:pPr>
      <w:spacing w:before="160" w:after="160"/>
      <w:contextualSpacing w:val="1"/>
    </w:pPr>
    <w:rPr>
      <w:rFonts w:ascii="Arial" w:hAnsi="Arial" w:cs="Arial"/>
      <w:b w:val="1"/>
      <w:bCs w:val="1"/>
      <w:sz w:val="24"/>
      <w:szCs w:val="24"/>
    </w:rPr>
  </w:style>
  <w:style w:type="paragraph" w:styleId="P6">
    <w:name w:val="Nagłówek 3 (Publink)"/>
    <w:basedOn w:val="P0"/>
    <w:pPr>
      <w:spacing w:before="160" w:after="160"/>
      <w:contextualSpacing w:val="1"/>
    </w:pPr>
    <w:rPr>
      <w:rFonts w:ascii="Arial" w:hAnsi="Arial" w:cs="Arial"/>
      <w:b w:val="1"/>
      <w:bCs w:val="1"/>
    </w:rPr>
  </w:style>
  <w:style w:type="paragraph" w:styleId="P7">
    <w:name w:val="Podpis tabeli (Publink)"/>
    <w:basedOn w:val="P3"/>
    <w:pPr>
      <w:spacing w:before="160" w:after="0"/>
      <w:jc w:val="left"/>
    </w:pPr>
    <w:rPr>
      <w:b w:val="1"/>
      <w:bCs w:val="1"/>
    </w:rPr>
  </w:style>
  <w:style w:type="paragraph" w:styleId="P8">
    <w:name w:val="Podpis tabeli 2 (Publink)"/>
    <w:basedOn w:val="P3"/>
    <w:pPr>
      <w:contextualSpacing w:val="1"/>
      <w:jc w:val="left"/>
    </w:pPr>
    <w:rPr/>
  </w:style>
  <w:style w:type="paragraph" w:styleId="P9">
    <w:name w:val="Lista (Publink)"/>
    <w:basedOn w:val="P3"/>
    <w:pPr>
      <w:contextualSpacing w:val="1"/>
      <w:jc w:val="left"/>
    </w:pPr>
    <w:rPr/>
  </w:style>
  <w:style w:type="paragraph" w:styleId="P10">
    <w:name w:val="Nagłówek tabeli (Publink)"/>
    <w:basedOn w:val="P3"/>
    <w:pPr>
      <w:spacing w:after="0"/>
      <w:jc w:val="left"/>
    </w:pPr>
    <w:rPr>
      <w:b w:val="1"/>
      <w:bCs w:val="1"/>
    </w:rPr>
  </w:style>
  <w:style w:type="paragraph" w:styleId="P11">
    <w:name w:val="Komórka tabeli (Publink)"/>
    <w:basedOn w:val="P3"/>
    <w:pPr>
      <w:spacing w:after="0"/>
      <w:jc w:val="left"/>
    </w:pPr>
    <w:rPr/>
  </w:style>
  <w:style w:type="paragraph" w:styleId="P12">
    <w:name w:val="Adnotacja (Publink)"/>
    <w:basedOn w:val="P3"/>
    <w:pPr>
      <w:jc w:val="right"/>
    </w:pPr>
    <w:rPr>
      <w:i w:val="1"/>
      <w:iCs w:val="1"/>
    </w:rPr>
  </w:style>
  <w:style w:type="paragraph" w:styleId="P13">
    <w:name w:val="Wyróżniona komórka tabeli (Publink)"/>
    <w:basedOn w:val="P11"/>
    <w:pPr/>
    <w:rPr>
      <w:b w:val="1"/>
      <w:bCs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pPr>
      <w:widowControl w:val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bottom w:w="0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Agnieszka Braun</dc:creator>
  <dcterms:created xsi:type="dcterms:W3CDTF">2024-12-09T09:46:00Z</dcterms:created>
  <cp:lastModifiedBy>Agnieszka Braun</cp:lastModifiedBy>
  <dcterms:modified xsi:type="dcterms:W3CDTF">2024-12-09T09:46:43Z</dcterms:modified>
  <cp:revision>1</cp:revision>
</cp:coreProperties>
</file>